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F4" w:rsidRPr="000F03E6" w:rsidRDefault="00F333F4" w:rsidP="000F03E6">
      <w:pPr>
        <w:pStyle w:val="a3"/>
        <w:shd w:val="clear" w:color="auto" w:fill="FFFFFF"/>
        <w:spacing w:line="345" w:lineRule="atLeast"/>
        <w:rPr>
          <w:color w:val="2B2B2B"/>
        </w:rPr>
      </w:pPr>
      <w:r w:rsidRPr="000F03E6">
        <w:rPr>
          <w:rFonts w:hint="eastAsia"/>
          <w:color w:val="2B2B2B"/>
        </w:rPr>
        <w:t xml:space="preserve">股票代码：603001      </w:t>
      </w:r>
      <w:r w:rsidR="005579EB" w:rsidRPr="000F03E6">
        <w:rPr>
          <w:rFonts w:hint="eastAsia"/>
          <w:color w:val="2B2B2B"/>
        </w:rPr>
        <w:t xml:space="preserve">  </w:t>
      </w:r>
      <w:r w:rsidRPr="000F03E6">
        <w:rPr>
          <w:rFonts w:hint="eastAsia"/>
          <w:color w:val="2B2B2B"/>
        </w:rPr>
        <w:t xml:space="preserve">股票简称：奥康国际     </w:t>
      </w:r>
      <w:r w:rsidR="005579EB" w:rsidRPr="000F03E6">
        <w:rPr>
          <w:rFonts w:hint="eastAsia"/>
          <w:color w:val="2B2B2B"/>
        </w:rPr>
        <w:t xml:space="preserve"> </w:t>
      </w:r>
      <w:r w:rsidRPr="000F03E6">
        <w:rPr>
          <w:rFonts w:hint="eastAsia"/>
          <w:color w:val="2B2B2B"/>
        </w:rPr>
        <w:t xml:space="preserve">    公告编号：临201</w:t>
      </w:r>
      <w:r w:rsidR="00BD1E4D">
        <w:rPr>
          <w:rFonts w:hint="eastAsia"/>
          <w:color w:val="2B2B2B"/>
        </w:rPr>
        <w:t>4</w:t>
      </w:r>
      <w:r w:rsidRPr="000F03E6">
        <w:rPr>
          <w:rFonts w:hint="eastAsia"/>
          <w:color w:val="2B2B2B"/>
        </w:rPr>
        <w:t>-</w:t>
      </w:r>
      <w:r w:rsidR="00FB400B" w:rsidRPr="000F03E6">
        <w:rPr>
          <w:rFonts w:hint="eastAsia"/>
          <w:color w:val="2B2B2B"/>
        </w:rPr>
        <w:t>0</w:t>
      </w:r>
      <w:r w:rsidR="00DC6993">
        <w:rPr>
          <w:rFonts w:hint="eastAsia"/>
          <w:color w:val="2B2B2B"/>
        </w:rPr>
        <w:t>4</w:t>
      </w:r>
      <w:r w:rsidR="009D1DCD">
        <w:rPr>
          <w:rFonts w:hint="eastAsia"/>
          <w:color w:val="2B2B2B"/>
        </w:rPr>
        <w:t>0</w:t>
      </w:r>
    </w:p>
    <w:p w:rsidR="00D11578" w:rsidRPr="000F03E6" w:rsidRDefault="00D11578" w:rsidP="000F03E6">
      <w:pPr>
        <w:pStyle w:val="a4"/>
        <w:spacing w:line="500" w:lineRule="exact"/>
        <w:rPr>
          <w:rFonts w:ascii="黑体" w:eastAsia="黑体" w:hAnsi="Cambria" w:cs="Times New Roman"/>
          <w:color w:val="FF0000"/>
          <w:sz w:val="36"/>
          <w:szCs w:val="36"/>
        </w:rPr>
      </w:pPr>
      <w:r w:rsidRPr="000F03E6">
        <w:rPr>
          <w:rFonts w:ascii="黑体" w:eastAsia="黑体" w:hAnsi="Cambria" w:cs="Times New Roman" w:hint="eastAsia"/>
          <w:color w:val="FF0000"/>
          <w:sz w:val="36"/>
          <w:szCs w:val="36"/>
        </w:rPr>
        <w:t>浙江奥康鞋业股份有限公司</w:t>
      </w:r>
    </w:p>
    <w:p w:rsidR="00D11578" w:rsidRPr="000F03E6" w:rsidRDefault="007E6533" w:rsidP="000F03E6">
      <w:pPr>
        <w:pStyle w:val="a4"/>
        <w:spacing w:line="500" w:lineRule="exact"/>
        <w:rPr>
          <w:rFonts w:ascii="黑体" w:eastAsia="黑体" w:hAnsi="Cambria" w:cs="Times New Roman"/>
          <w:color w:val="FF0000"/>
          <w:sz w:val="36"/>
          <w:szCs w:val="36"/>
        </w:rPr>
      </w:pPr>
      <w:r>
        <w:rPr>
          <w:rFonts w:ascii="黑体" w:eastAsia="黑体" w:hAnsi="Cambria" w:cs="Times New Roman"/>
          <w:color w:val="FF0000"/>
          <w:sz w:val="36"/>
          <w:szCs w:val="36"/>
        </w:rPr>
        <w:pict>
          <v:rect id="矩形 1" o:spid="_x0000_s1026" style="position:absolute;left:0;text-align:left;margin-left:-.6pt;margin-top:46.6pt;width:429.75pt;height:6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" fillcolor="white [3201]" strokecolor="black [3213]" strokeweight="1.5pt">
            <v:textbox style="mso-next-textbox:#矩形 1">
              <w:txbxContent>
                <w:p w:rsidR="00187933" w:rsidRPr="000F03E6" w:rsidRDefault="00187933" w:rsidP="00187933">
                  <w:pPr>
                    <w:spacing w:line="360" w:lineRule="auto"/>
                    <w:ind w:firstLine="420"/>
                    <w:rPr>
                      <w:rFonts w:ascii="Calibri" w:eastAsia="宋体" w:hAnsi="Calibri" w:cs="Times New Roman"/>
                      <w:color w:val="2B2B2B"/>
                      <w:sz w:val="24"/>
                      <w:szCs w:val="24"/>
                    </w:rPr>
                  </w:pPr>
                  <w:r w:rsidRPr="000F03E6">
                    <w:rPr>
                      <w:rFonts w:ascii="Calibri" w:eastAsia="宋体" w:hAnsi="Calibri" w:cs="Times New Roman" w:hint="eastAsia"/>
                      <w:color w:val="2B2B2B"/>
                      <w:sz w:val="24"/>
                      <w:szCs w:val="24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  <w10:wrap type="topAndBottom"/>
          </v:rect>
        </w:pict>
      </w:r>
      <w:r w:rsidR="00FF7F0E">
        <w:rPr>
          <w:rFonts w:ascii="黑体" w:eastAsia="黑体" w:hAnsi="Cambria" w:cs="Times New Roman" w:hint="eastAsia"/>
          <w:color w:val="FF0000"/>
          <w:sz w:val="36"/>
          <w:szCs w:val="36"/>
        </w:rPr>
        <w:t>关于购买银行理财产品的进展</w:t>
      </w:r>
      <w:r w:rsidR="00D11578" w:rsidRPr="000F03E6">
        <w:rPr>
          <w:rFonts w:ascii="黑体" w:eastAsia="黑体" w:hAnsi="Cambria" w:cs="Times New Roman" w:hint="eastAsia"/>
          <w:color w:val="FF0000"/>
          <w:sz w:val="36"/>
          <w:szCs w:val="36"/>
        </w:rPr>
        <w:t>公告</w:t>
      </w:r>
    </w:p>
    <w:p w:rsidR="00853802" w:rsidRDefault="002C73CB" w:rsidP="001A3FE2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0C2BD0">
        <w:rPr>
          <w:rFonts w:ascii="宋体" w:hAnsi="宋体" w:hint="eastAsia"/>
          <w:sz w:val="24"/>
          <w:szCs w:val="24"/>
        </w:rPr>
        <w:t>浙江奥康鞋业股份有限公司（以下简称“公司”）</w:t>
      </w:r>
      <w:r w:rsidR="001A3FE2">
        <w:rPr>
          <w:rFonts w:ascii="宋体" w:hAnsi="宋体" w:hint="eastAsia"/>
          <w:sz w:val="24"/>
          <w:szCs w:val="24"/>
        </w:rPr>
        <w:t>于2014年6月10日</w:t>
      </w:r>
      <w:r>
        <w:rPr>
          <w:rFonts w:ascii="宋体" w:hAnsi="宋体" w:hint="eastAsia"/>
          <w:sz w:val="24"/>
          <w:szCs w:val="24"/>
        </w:rPr>
        <w:t>召开</w:t>
      </w:r>
      <w:r w:rsidRPr="000513CE">
        <w:rPr>
          <w:rFonts w:ascii="宋体" w:hAnsi="宋体" w:hint="eastAsia"/>
          <w:sz w:val="24"/>
          <w:szCs w:val="24"/>
        </w:rPr>
        <w:t>2013年年度股东大会</w:t>
      </w:r>
      <w:r>
        <w:rPr>
          <w:rFonts w:ascii="宋体" w:hAnsi="宋体" w:hint="eastAsia"/>
          <w:sz w:val="24"/>
          <w:szCs w:val="24"/>
        </w:rPr>
        <w:t>，会议</w:t>
      </w:r>
      <w:r w:rsidR="00185C71">
        <w:rPr>
          <w:rFonts w:ascii="宋体" w:hAnsi="宋体" w:hint="eastAsia"/>
          <w:sz w:val="24"/>
          <w:szCs w:val="24"/>
        </w:rPr>
        <w:t>审议通过</w:t>
      </w:r>
      <w:r>
        <w:rPr>
          <w:rFonts w:ascii="宋体" w:hAnsi="宋体" w:hint="eastAsia"/>
          <w:sz w:val="24"/>
          <w:szCs w:val="24"/>
        </w:rPr>
        <w:t>了</w:t>
      </w:r>
      <w:r w:rsidR="00185C71" w:rsidRPr="000C2BD0">
        <w:rPr>
          <w:rFonts w:ascii="宋体" w:hAnsi="宋体" w:hint="eastAsia"/>
          <w:sz w:val="24"/>
          <w:szCs w:val="24"/>
        </w:rPr>
        <w:t>《关于使用部分闲置募集资金和</w:t>
      </w:r>
      <w:r w:rsidR="00185C71" w:rsidRPr="000C2BD0">
        <w:rPr>
          <w:rFonts w:ascii="宋体" w:hAnsi="宋体"/>
          <w:sz w:val="24"/>
          <w:szCs w:val="24"/>
        </w:rPr>
        <w:t>自有资金</w:t>
      </w:r>
      <w:r w:rsidR="00185C71" w:rsidRPr="000C2BD0">
        <w:rPr>
          <w:rFonts w:ascii="宋体" w:hAnsi="宋体" w:hint="eastAsia"/>
          <w:sz w:val="24"/>
          <w:szCs w:val="24"/>
        </w:rPr>
        <w:t>购买银行理财产品的议案》</w:t>
      </w:r>
      <w:r w:rsidR="00185C71">
        <w:rPr>
          <w:rFonts w:ascii="宋体" w:hAnsi="宋体" w:hint="eastAsia"/>
          <w:sz w:val="24"/>
          <w:szCs w:val="24"/>
        </w:rPr>
        <w:t>，同意</w:t>
      </w:r>
      <w:r w:rsidR="00185C71" w:rsidRPr="0042557F">
        <w:rPr>
          <w:rFonts w:ascii="宋体" w:hAnsi="宋体" w:hint="eastAsia"/>
          <w:sz w:val="24"/>
          <w:szCs w:val="24"/>
        </w:rPr>
        <w:t>在确保不影响募集资金</w:t>
      </w:r>
      <w:r w:rsidR="00185C71">
        <w:rPr>
          <w:rFonts w:ascii="宋体" w:hAnsi="宋体" w:hint="eastAsia"/>
          <w:sz w:val="24"/>
          <w:szCs w:val="24"/>
        </w:rPr>
        <w:t>投资</w:t>
      </w:r>
      <w:r w:rsidR="00185C71" w:rsidRPr="0042557F">
        <w:rPr>
          <w:rFonts w:ascii="宋体" w:hAnsi="宋体" w:hint="eastAsia"/>
          <w:sz w:val="24"/>
          <w:szCs w:val="24"/>
        </w:rPr>
        <w:t>项目建设和</w:t>
      </w:r>
      <w:r w:rsidR="00185C71">
        <w:rPr>
          <w:rFonts w:ascii="宋体" w:hAnsi="宋体" w:hint="eastAsia"/>
          <w:sz w:val="24"/>
          <w:szCs w:val="24"/>
        </w:rPr>
        <w:t>正常经营计划</w:t>
      </w:r>
      <w:r w:rsidR="00185C71" w:rsidRPr="0042557F">
        <w:rPr>
          <w:rFonts w:ascii="宋体" w:hAnsi="宋体" w:hint="eastAsia"/>
          <w:sz w:val="24"/>
          <w:szCs w:val="24"/>
        </w:rPr>
        <w:t>使用</w:t>
      </w:r>
      <w:r w:rsidR="00185C71">
        <w:rPr>
          <w:rFonts w:ascii="宋体" w:hAnsi="宋体" w:hint="eastAsia"/>
          <w:sz w:val="24"/>
          <w:szCs w:val="24"/>
        </w:rPr>
        <w:t>的情况下，</w:t>
      </w:r>
      <w:r w:rsidR="00185C71" w:rsidRPr="0042557F">
        <w:rPr>
          <w:rFonts w:ascii="宋体" w:hAnsi="宋体" w:hint="eastAsia"/>
          <w:sz w:val="24"/>
          <w:szCs w:val="24"/>
        </w:rPr>
        <w:t xml:space="preserve">使用合计不超过 </w:t>
      </w:r>
      <w:r w:rsidR="00185C71">
        <w:rPr>
          <w:rFonts w:ascii="宋体" w:hAnsi="宋体" w:hint="eastAsia"/>
          <w:sz w:val="24"/>
          <w:szCs w:val="24"/>
        </w:rPr>
        <w:t>13</w:t>
      </w:r>
      <w:r w:rsidR="00185C71" w:rsidRPr="0042557F">
        <w:rPr>
          <w:rFonts w:ascii="宋体" w:hAnsi="宋体" w:hint="eastAsia"/>
          <w:sz w:val="24"/>
          <w:szCs w:val="24"/>
        </w:rPr>
        <w:t>亿元闲置募集资金及自有资金</w:t>
      </w:r>
      <w:r w:rsidR="00185C71" w:rsidRPr="008556A6">
        <w:rPr>
          <w:rFonts w:ascii="宋体" w:hAnsi="宋体" w:hint="eastAsia"/>
          <w:sz w:val="24"/>
          <w:szCs w:val="24"/>
        </w:rPr>
        <w:t>（其中：公司使用闲置募集资金不超过5亿元、公司及其全资子公司使用自有资金不超过8亿元）</w:t>
      </w:r>
      <w:r w:rsidR="00185C71">
        <w:rPr>
          <w:rFonts w:ascii="宋体" w:hAnsi="宋体" w:hint="eastAsia"/>
          <w:sz w:val="24"/>
          <w:szCs w:val="24"/>
        </w:rPr>
        <w:t>，适时</w:t>
      </w:r>
      <w:r w:rsidR="00185C71" w:rsidRPr="0042557F">
        <w:rPr>
          <w:rFonts w:ascii="宋体" w:hAnsi="宋体" w:hint="eastAsia"/>
          <w:sz w:val="24"/>
          <w:szCs w:val="24"/>
        </w:rPr>
        <w:t>购买安全性高、流动性好的保本型银行理财产品。以上资金额度在决议有效期内可以滚动使用，并授权公司</w:t>
      </w:r>
      <w:r w:rsidR="00185C71">
        <w:rPr>
          <w:rFonts w:ascii="宋体" w:hAnsi="宋体" w:hint="eastAsia"/>
          <w:sz w:val="24"/>
          <w:szCs w:val="24"/>
        </w:rPr>
        <w:t>财务总监</w:t>
      </w:r>
      <w:r w:rsidR="00185C71" w:rsidRPr="0042557F">
        <w:rPr>
          <w:rFonts w:ascii="宋体" w:hAnsi="宋体" w:hint="eastAsia"/>
          <w:sz w:val="24"/>
          <w:szCs w:val="24"/>
        </w:rPr>
        <w:t>在上述额度内具体实施和办理相关事项，决议有效期自股东大会审议通过之日起一年</w:t>
      </w:r>
      <w:r w:rsidR="00185C71">
        <w:rPr>
          <w:rFonts w:ascii="宋体" w:hAnsi="宋体" w:hint="eastAsia"/>
          <w:sz w:val="24"/>
          <w:szCs w:val="24"/>
        </w:rPr>
        <w:t>内</w:t>
      </w:r>
      <w:r w:rsidR="00185C71" w:rsidRPr="0042557F">
        <w:rPr>
          <w:rFonts w:ascii="宋体" w:hAnsi="宋体" w:hint="eastAsia"/>
          <w:sz w:val="24"/>
          <w:szCs w:val="24"/>
        </w:rPr>
        <w:t>有效。</w:t>
      </w:r>
    </w:p>
    <w:p w:rsidR="002C73CB" w:rsidRDefault="002C73CB" w:rsidP="001A3FE2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根据上述授权，公司近期</w:t>
      </w:r>
      <w:r w:rsidR="00A07761">
        <w:rPr>
          <w:rFonts w:asciiTheme="minorEastAsia" w:hAnsiTheme="minorEastAsia" w:hint="eastAsia"/>
          <w:sz w:val="24"/>
          <w:szCs w:val="24"/>
        </w:rPr>
        <w:t>使用闲置募集资金和自有资金</w:t>
      </w:r>
      <w:r w:rsidR="00275AB0">
        <w:rPr>
          <w:rFonts w:asciiTheme="minorEastAsia" w:hAnsiTheme="minorEastAsia" w:hint="eastAsia"/>
          <w:sz w:val="24"/>
          <w:szCs w:val="24"/>
        </w:rPr>
        <w:t>分别</w:t>
      </w:r>
      <w:r w:rsidR="00A07761">
        <w:rPr>
          <w:rFonts w:asciiTheme="minorEastAsia" w:hAnsiTheme="minorEastAsia" w:hint="eastAsia"/>
          <w:sz w:val="24"/>
          <w:szCs w:val="24"/>
        </w:rPr>
        <w:t>向</w:t>
      </w:r>
      <w:r w:rsidR="009D1DCD">
        <w:rPr>
          <w:rFonts w:asciiTheme="minorEastAsia" w:hAnsiTheme="minorEastAsia" w:hint="eastAsia"/>
          <w:sz w:val="24"/>
          <w:szCs w:val="24"/>
        </w:rPr>
        <w:t>浙商</w:t>
      </w:r>
      <w:r w:rsidR="009D1DCD">
        <w:rPr>
          <w:rFonts w:asciiTheme="minorEastAsia" w:hAnsiTheme="minorEastAsia"/>
          <w:sz w:val="24"/>
          <w:szCs w:val="24"/>
        </w:rPr>
        <w:t>银行股份有限公司温州分行</w:t>
      </w:r>
      <w:r w:rsidR="009D1DCD">
        <w:rPr>
          <w:rFonts w:asciiTheme="minorEastAsia" w:hAnsiTheme="minorEastAsia" w:hint="eastAsia"/>
          <w:sz w:val="24"/>
          <w:szCs w:val="24"/>
        </w:rPr>
        <w:t>、</w:t>
      </w:r>
      <w:r w:rsidR="00A07761">
        <w:rPr>
          <w:rFonts w:asciiTheme="minorEastAsia" w:hAnsiTheme="minorEastAsia" w:hint="eastAsia"/>
          <w:sz w:val="24"/>
          <w:szCs w:val="24"/>
        </w:rPr>
        <w:t>中国农业</w:t>
      </w:r>
      <w:r w:rsidR="00A07761">
        <w:rPr>
          <w:rFonts w:asciiTheme="minorEastAsia" w:hAnsiTheme="minorEastAsia"/>
          <w:sz w:val="24"/>
          <w:szCs w:val="24"/>
        </w:rPr>
        <w:t>银行</w:t>
      </w:r>
      <w:r w:rsidR="00A07761">
        <w:rPr>
          <w:rFonts w:asciiTheme="minorEastAsia" w:hAnsiTheme="minorEastAsia" w:hint="eastAsia"/>
          <w:sz w:val="24"/>
          <w:szCs w:val="24"/>
        </w:rPr>
        <w:t>股份有限公司</w:t>
      </w:r>
      <w:r w:rsidR="00A07761">
        <w:rPr>
          <w:rFonts w:asciiTheme="minorEastAsia" w:hAnsiTheme="minorEastAsia"/>
          <w:sz w:val="24"/>
          <w:szCs w:val="24"/>
        </w:rPr>
        <w:t>永嘉</w:t>
      </w:r>
      <w:r w:rsidR="00A07761">
        <w:rPr>
          <w:rFonts w:asciiTheme="minorEastAsia" w:hAnsiTheme="minorEastAsia" w:hint="eastAsia"/>
          <w:sz w:val="24"/>
          <w:szCs w:val="24"/>
        </w:rPr>
        <w:t>黄田</w:t>
      </w:r>
      <w:r w:rsidR="00A07761">
        <w:rPr>
          <w:rFonts w:asciiTheme="minorEastAsia" w:hAnsiTheme="minorEastAsia"/>
          <w:sz w:val="24"/>
          <w:szCs w:val="24"/>
        </w:rPr>
        <w:t>支行</w:t>
      </w:r>
      <w:r w:rsidR="00DD19E0">
        <w:rPr>
          <w:rFonts w:asciiTheme="minorEastAsia" w:hAnsiTheme="minorEastAsia" w:hint="eastAsia"/>
          <w:sz w:val="24"/>
          <w:szCs w:val="24"/>
        </w:rPr>
        <w:t>、</w:t>
      </w:r>
      <w:r w:rsidR="009D1DCD">
        <w:rPr>
          <w:rFonts w:asciiTheme="minorEastAsia" w:hAnsiTheme="minorEastAsia" w:hint="eastAsia"/>
          <w:sz w:val="24"/>
          <w:szCs w:val="24"/>
        </w:rPr>
        <w:t>中国银行股份有限公司永嘉县支行、中国工商银行股份有限公司永嘉支行</w:t>
      </w:r>
      <w:r w:rsidR="00A07761" w:rsidRPr="00D047E9">
        <w:rPr>
          <w:rFonts w:asciiTheme="minorEastAsia" w:hAnsiTheme="minorEastAsia" w:hint="eastAsia"/>
          <w:sz w:val="24"/>
          <w:szCs w:val="24"/>
        </w:rPr>
        <w:t>购买了银行理财产品，现将</w:t>
      </w:r>
      <w:r w:rsidR="00C953CB">
        <w:rPr>
          <w:rFonts w:asciiTheme="minorEastAsia" w:hAnsiTheme="minorEastAsia" w:hint="eastAsia"/>
          <w:sz w:val="24"/>
          <w:szCs w:val="24"/>
        </w:rPr>
        <w:t>相</w:t>
      </w:r>
      <w:r w:rsidR="00A07761" w:rsidRPr="00D047E9">
        <w:rPr>
          <w:rFonts w:asciiTheme="minorEastAsia" w:hAnsiTheme="minorEastAsia" w:hint="eastAsia"/>
          <w:sz w:val="24"/>
          <w:szCs w:val="24"/>
        </w:rPr>
        <w:t>关情况公告如下：</w:t>
      </w:r>
    </w:p>
    <w:p w:rsidR="00B42304" w:rsidRPr="00FA51E8" w:rsidRDefault="00B42304" w:rsidP="001A3FE2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FA51E8">
        <w:rPr>
          <w:rFonts w:ascii="宋体" w:hAnsi="宋体" w:hint="eastAsia"/>
          <w:b/>
          <w:sz w:val="24"/>
          <w:szCs w:val="24"/>
        </w:rPr>
        <w:t>一、</w:t>
      </w:r>
      <w:r>
        <w:rPr>
          <w:rFonts w:ascii="宋体" w:hAnsi="宋体" w:hint="eastAsia"/>
          <w:b/>
          <w:sz w:val="24"/>
          <w:szCs w:val="24"/>
        </w:rPr>
        <w:t>理财产品购买情况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701"/>
        <w:gridCol w:w="1134"/>
        <w:gridCol w:w="1134"/>
        <w:gridCol w:w="1134"/>
        <w:gridCol w:w="1417"/>
      </w:tblGrid>
      <w:tr w:rsidR="00BE7563" w:rsidRPr="007E35D1" w:rsidTr="009D1DCD">
        <w:trPr>
          <w:trHeight w:val="2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63" w:rsidRPr="007E35D1" w:rsidRDefault="00BE7563" w:rsidP="00C8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63" w:rsidRPr="007E35D1" w:rsidRDefault="00BE7563" w:rsidP="00C8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63" w:rsidRPr="007E35D1" w:rsidRDefault="00BE7563" w:rsidP="00C8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63" w:rsidRPr="007E35D1" w:rsidRDefault="00BE7563" w:rsidP="00C8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产品类型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7563" w:rsidRPr="007E35D1" w:rsidRDefault="00BE7563" w:rsidP="00C8639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7563" w:rsidRPr="007E35D1" w:rsidRDefault="00BE7563" w:rsidP="00BE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预期年化收益率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63" w:rsidRPr="007E35D1" w:rsidRDefault="00BE7563" w:rsidP="00C8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认购金额(万元)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7563" w:rsidRPr="007E35D1" w:rsidRDefault="00BE7563" w:rsidP="00C8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购买日期</w:t>
            </w:r>
          </w:p>
        </w:tc>
      </w:tr>
      <w:tr w:rsidR="00BE7563" w:rsidRPr="007E35D1" w:rsidTr="009D1DCD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563" w:rsidRPr="007E35D1" w:rsidRDefault="00BE7563" w:rsidP="008D2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563" w:rsidRPr="007E35D1" w:rsidRDefault="00BE7563" w:rsidP="008D2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63" w:rsidRPr="007E35D1" w:rsidRDefault="00BE7563" w:rsidP="008D2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期限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563" w:rsidRPr="007E35D1" w:rsidRDefault="00BE7563" w:rsidP="008D2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7563" w:rsidRPr="007E35D1" w:rsidRDefault="00BE7563" w:rsidP="008D2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563" w:rsidRPr="007E35D1" w:rsidRDefault="00BE7563" w:rsidP="008D2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563" w:rsidRPr="007E35D1" w:rsidRDefault="00BE7563" w:rsidP="008D2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563" w:rsidRPr="007E35D1" w:rsidRDefault="00BE7563" w:rsidP="008D2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1DCD" w:rsidRPr="007E35D1" w:rsidTr="009D1DCD">
        <w:trPr>
          <w:trHeight w:val="2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Default="009D1DCD" w:rsidP="00B9492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1D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浙商银行2014年专属理财第201期人民币理财产品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保本浮动收益型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自有资金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  <w:r w:rsidR="004C10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9D1DCD" w:rsidRPr="007E35D1" w:rsidTr="009D1DCD">
        <w:trPr>
          <w:trHeight w:val="2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B949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农行</w:t>
            </w:r>
            <w:r w:rsidRPr="009D1D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“汇利丰”2014年第6153期对公定制人民币理财产品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保本浮动收益型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募集资金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4C10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%或2.6</w:t>
            </w:r>
            <w:r w:rsidR="004C10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D1DCD" w:rsidRPr="007E35D1" w:rsidTr="009D1DCD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CD" w:rsidRPr="007E35D1" w:rsidRDefault="009D1DCD" w:rsidP="00B949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中行</w:t>
            </w:r>
            <w:r w:rsidRPr="009D1D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人民币“按期开放”产品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1D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保证收益型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募集资金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D1DCD" w:rsidRPr="007E35D1" w:rsidTr="009D1DCD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CD" w:rsidRDefault="009D1DCD" w:rsidP="00B949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工行</w:t>
            </w:r>
            <w:r w:rsidRPr="009D1D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工银理财共赢3号（浙）2014年第186期（71天）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CD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1D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保本浮动收益型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1DCD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募集资金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1DCD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4.8</w:t>
            </w:r>
            <w:r w:rsidR="00A378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CD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1DCD" w:rsidRPr="007E35D1" w:rsidRDefault="009D1DCD" w:rsidP="009D1D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7E35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</w:tbl>
    <w:p w:rsidR="009D1DCD" w:rsidRDefault="009D1DCD" w:rsidP="00F254B7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F254B7" w:rsidRPr="00D047E9" w:rsidRDefault="00F254B7" w:rsidP="00F254B7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047E9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二、理财产品安全性及公司风险控制措施 </w:t>
      </w:r>
    </w:p>
    <w:p w:rsidR="00F254B7" w:rsidRPr="00D047E9" w:rsidRDefault="00F254B7" w:rsidP="00F254B7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047E9">
        <w:rPr>
          <w:rFonts w:asciiTheme="minorEastAsia" w:hAnsiTheme="minorEastAsia" w:hint="eastAsia"/>
          <w:sz w:val="24"/>
          <w:szCs w:val="24"/>
        </w:rPr>
        <w:t>公司本着维护股东和公司利益的原则，将风险防范放在首位，对理财产品的投资严格把关，谨慎决策，公司所选择的理财产品均为保本型产品，且单笔投资理财产品的额度不超过最近一期经审计净资产百分之五，在上述银行理财产品理财期间，公司与该银行保持联系，跟踪理财资金的运作情况，加强风险控制和监督，严格控制资金的安全性。本次购买理财产品由董事会</w:t>
      </w:r>
      <w:r w:rsidRPr="0042557F">
        <w:rPr>
          <w:rFonts w:ascii="宋体" w:eastAsia="宋体" w:hAnsi="宋体" w:cs="Times New Roman" w:hint="eastAsia"/>
          <w:sz w:val="24"/>
          <w:szCs w:val="24"/>
        </w:rPr>
        <w:t>授权公司</w:t>
      </w:r>
      <w:r>
        <w:rPr>
          <w:rFonts w:ascii="宋体" w:eastAsia="宋体" w:hAnsi="宋体" w:cs="Times New Roman" w:hint="eastAsia"/>
          <w:sz w:val="24"/>
          <w:szCs w:val="24"/>
        </w:rPr>
        <w:t>财务总监</w:t>
      </w:r>
      <w:r>
        <w:rPr>
          <w:rFonts w:ascii="宋体" w:hAnsi="宋体" w:hint="eastAsia"/>
          <w:sz w:val="24"/>
          <w:szCs w:val="24"/>
        </w:rPr>
        <w:t>在上述额度内负责</w:t>
      </w:r>
      <w:r w:rsidRPr="0042557F">
        <w:rPr>
          <w:rFonts w:ascii="宋体" w:eastAsia="宋体" w:hAnsi="宋体" w:cs="Times New Roman" w:hint="eastAsia"/>
          <w:sz w:val="24"/>
          <w:szCs w:val="24"/>
        </w:rPr>
        <w:t>实施</w:t>
      </w:r>
      <w:r w:rsidRPr="00D047E9">
        <w:rPr>
          <w:rFonts w:asciiTheme="minorEastAsia" w:hAnsiTheme="minorEastAsia" w:hint="eastAsia"/>
          <w:sz w:val="24"/>
          <w:szCs w:val="24"/>
        </w:rPr>
        <w:t>。</w:t>
      </w:r>
    </w:p>
    <w:p w:rsidR="00F254B7" w:rsidRPr="00D047E9" w:rsidRDefault="00F254B7" w:rsidP="00F254B7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047E9">
        <w:rPr>
          <w:rFonts w:asciiTheme="minorEastAsia" w:hAnsiTheme="minorEastAsia" w:hint="eastAsia"/>
          <w:b/>
          <w:sz w:val="24"/>
          <w:szCs w:val="24"/>
        </w:rPr>
        <w:t xml:space="preserve">三、对公司日常经营的影响 </w:t>
      </w:r>
    </w:p>
    <w:p w:rsidR="00F254B7" w:rsidRDefault="00F254B7" w:rsidP="00F254B7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047E9">
        <w:rPr>
          <w:rFonts w:asciiTheme="minorEastAsia" w:hAnsiTheme="minorEastAsia" w:hint="eastAsia"/>
          <w:sz w:val="24"/>
          <w:szCs w:val="24"/>
        </w:rPr>
        <w:t>公司本次使用部分闲置募集资金</w:t>
      </w:r>
      <w:r w:rsidR="00747288">
        <w:rPr>
          <w:rFonts w:asciiTheme="minorEastAsia" w:hAnsiTheme="minorEastAsia" w:hint="eastAsia"/>
          <w:sz w:val="24"/>
          <w:szCs w:val="24"/>
        </w:rPr>
        <w:t>和自有资金</w:t>
      </w:r>
      <w:r w:rsidRPr="00D047E9">
        <w:rPr>
          <w:rFonts w:asciiTheme="minorEastAsia" w:hAnsiTheme="minorEastAsia" w:hint="eastAsia"/>
          <w:sz w:val="24"/>
          <w:szCs w:val="24"/>
        </w:rPr>
        <w:t>购买银行理财产品，是在确保公司募投项目所需资金和</w:t>
      </w:r>
      <w:r w:rsidR="00747288">
        <w:rPr>
          <w:rFonts w:ascii="宋体" w:hAnsi="宋体" w:hint="eastAsia"/>
          <w:sz w:val="24"/>
          <w:szCs w:val="24"/>
        </w:rPr>
        <w:t>正常经营计划</w:t>
      </w:r>
      <w:r w:rsidR="00747288" w:rsidRPr="0042557F">
        <w:rPr>
          <w:rFonts w:ascii="宋体" w:hAnsi="宋体" w:hint="eastAsia"/>
          <w:sz w:val="24"/>
          <w:szCs w:val="24"/>
        </w:rPr>
        <w:t>使用</w:t>
      </w:r>
      <w:r w:rsidRPr="00D047E9">
        <w:rPr>
          <w:rFonts w:asciiTheme="minorEastAsia" w:hAnsiTheme="minorEastAsia" w:hint="eastAsia"/>
          <w:sz w:val="24"/>
          <w:szCs w:val="24"/>
        </w:rPr>
        <w:t>的前提下进行的，不影响公司日常资金正常周转需要，不影响募投项目的正常建设，不会影响公司主营业务的正常发展。通过进行适度的保本型短期理财，能获得一定的投资收益，进一步提升公司整体业绩水平，为公司和股东谋取较好的投资回报，不会损害公司股东利益。</w:t>
      </w:r>
    </w:p>
    <w:p w:rsidR="00FD7CDE" w:rsidRPr="00D047E9" w:rsidRDefault="00FD7CDE" w:rsidP="00FD7CDE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Pr="00D047E9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截止本公告日，公司进行委托理财的本金余额为</w:t>
      </w:r>
      <w:r w:rsidR="00664906">
        <w:rPr>
          <w:rFonts w:asciiTheme="minorEastAsia" w:hAnsiTheme="minorEastAsia" w:hint="eastAsia"/>
          <w:b/>
          <w:sz w:val="24"/>
          <w:szCs w:val="24"/>
        </w:rPr>
        <w:t>6</w:t>
      </w:r>
      <w:r>
        <w:rPr>
          <w:rFonts w:asciiTheme="minorEastAsia" w:hAnsiTheme="minorEastAsia" w:hint="eastAsia"/>
          <w:b/>
          <w:sz w:val="24"/>
          <w:szCs w:val="24"/>
        </w:rPr>
        <w:t>亿元，其中闲置募集资金</w:t>
      </w:r>
      <w:r w:rsidR="00E47C05">
        <w:rPr>
          <w:rFonts w:asciiTheme="minorEastAsia" w:hAnsiTheme="minorEastAsia" w:hint="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.</w:t>
      </w:r>
      <w:r w:rsidR="009D1DCD">
        <w:rPr>
          <w:rFonts w:asciiTheme="minorEastAsia" w:hAnsiTheme="minorEastAsia" w:hint="eastAsia"/>
          <w:b/>
          <w:sz w:val="24"/>
          <w:szCs w:val="24"/>
        </w:rPr>
        <w:t>8</w:t>
      </w:r>
      <w:r>
        <w:rPr>
          <w:rFonts w:asciiTheme="minorEastAsia" w:hAnsiTheme="minorEastAsia" w:hint="eastAsia"/>
          <w:b/>
          <w:sz w:val="24"/>
          <w:szCs w:val="24"/>
        </w:rPr>
        <w:t>亿元，闲置自有资金</w:t>
      </w:r>
      <w:r w:rsidR="00664906">
        <w:rPr>
          <w:rFonts w:asciiTheme="minorEastAsia" w:hAnsiTheme="minorEastAsia" w:hint="eastAsia"/>
          <w:b/>
          <w:sz w:val="24"/>
          <w:szCs w:val="24"/>
        </w:rPr>
        <w:t>2</w:t>
      </w:r>
      <w:r w:rsidR="00242476">
        <w:rPr>
          <w:rFonts w:asciiTheme="minorEastAsia" w:hAnsiTheme="minorEastAsia" w:hint="eastAsia"/>
          <w:b/>
          <w:sz w:val="24"/>
          <w:szCs w:val="24"/>
        </w:rPr>
        <w:t>.</w:t>
      </w:r>
      <w:r w:rsidR="009D1DCD">
        <w:rPr>
          <w:rFonts w:asciiTheme="minorEastAsia" w:hAnsiTheme="minorEastAsia" w:hint="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亿元。</w:t>
      </w:r>
    </w:p>
    <w:p w:rsidR="00684A38" w:rsidRPr="00D047E9" w:rsidRDefault="00684A38" w:rsidP="00684A38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047E9">
        <w:rPr>
          <w:rFonts w:asciiTheme="minorEastAsia" w:hAnsiTheme="minorEastAsia" w:hint="eastAsia"/>
          <w:b/>
          <w:sz w:val="24"/>
          <w:szCs w:val="24"/>
        </w:rPr>
        <w:t xml:space="preserve">五、备查文件 </w:t>
      </w:r>
    </w:p>
    <w:p w:rsidR="00684A38" w:rsidRPr="00D047E9" w:rsidRDefault="00684A38" w:rsidP="00E73F41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047E9">
        <w:rPr>
          <w:rFonts w:asciiTheme="minorEastAsia" w:hAnsiTheme="minorEastAsia" w:hint="eastAsia"/>
          <w:sz w:val="24"/>
          <w:szCs w:val="24"/>
        </w:rPr>
        <w:t>1、公司第</w:t>
      </w:r>
      <w:r w:rsidR="0066319A">
        <w:rPr>
          <w:rFonts w:asciiTheme="minorEastAsia" w:hAnsiTheme="minorEastAsia" w:hint="eastAsia"/>
          <w:sz w:val="24"/>
          <w:szCs w:val="24"/>
        </w:rPr>
        <w:t>五</w:t>
      </w:r>
      <w:r w:rsidRPr="00D047E9">
        <w:rPr>
          <w:rFonts w:asciiTheme="minorEastAsia" w:hAnsiTheme="minorEastAsia" w:hint="eastAsia"/>
          <w:sz w:val="24"/>
          <w:szCs w:val="24"/>
        </w:rPr>
        <w:t>届董事会第</w:t>
      </w:r>
      <w:r w:rsidR="0066319A">
        <w:rPr>
          <w:rFonts w:asciiTheme="minorEastAsia" w:hAnsiTheme="minorEastAsia" w:hint="eastAsia"/>
          <w:sz w:val="24"/>
          <w:szCs w:val="24"/>
        </w:rPr>
        <w:t>二</w:t>
      </w:r>
      <w:r w:rsidRPr="00D047E9">
        <w:rPr>
          <w:rFonts w:asciiTheme="minorEastAsia" w:hAnsiTheme="minorEastAsia" w:hint="eastAsia"/>
          <w:sz w:val="24"/>
          <w:szCs w:val="24"/>
        </w:rPr>
        <w:t>次会议决议和第</w:t>
      </w:r>
      <w:r w:rsidR="0066319A">
        <w:rPr>
          <w:rFonts w:asciiTheme="minorEastAsia" w:hAnsiTheme="minorEastAsia" w:hint="eastAsia"/>
          <w:sz w:val="24"/>
          <w:szCs w:val="24"/>
        </w:rPr>
        <w:t>五</w:t>
      </w:r>
      <w:r w:rsidRPr="00D047E9">
        <w:rPr>
          <w:rFonts w:asciiTheme="minorEastAsia" w:hAnsiTheme="minorEastAsia" w:hint="eastAsia"/>
          <w:sz w:val="24"/>
          <w:szCs w:val="24"/>
        </w:rPr>
        <w:t>届监事会第</w:t>
      </w:r>
      <w:r w:rsidR="0066319A">
        <w:rPr>
          <w:rFonts w:asciiTheme="minorEastAsia" w:hAnsiTheme="minorEastAsia" w:hint="eastAsia"/>
          <w:sz w:val="24"/>
          <w:szCs w:val="24"/>
        </w:rPr>
        <w:t>二</w:t>
      </w:r>
      <w:r w:rsidRPr="00D047E9">
        <w:rPr>
          <w:rFonts w:asciiTheme="minorEastAsia" w:hAnsiTheme="minorEastAsia" w:hint="eastAsia"/>
          <w:sz w:val="24"/>
          <w:szCs w:val="24"/>
        </w:rPr>
        <w:t>次会议决议</w:t>
      </w:r>
      <w:r w:rsidR="00B74A22">
        <w:rPr>
          <w:rFonts w:asciiTheme="minorEastAsia" w:hAnsiTheme="minorEastAsia" w:hint="eastAsia"/>
          <w:sz w:val="24"/>
          <w:szCs w:val="24"/>
        </w:rPr>
        <w:t>；</w:t>
      </w:r>
      <w:r w:rsidRPr="00D047E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C517C" w:rsidRDefault="00684A38" w:rsidP="00E73F41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047E9">
        <w:rPr>
          <w:rFonts w:asciiTheme="minorEastAsia" w:hAnsiTheme="minorEastAsia" w:hint="eastAsia"/>
          <w:sz w:val="24"/>
          <w:szCs w:val="24"/>
        </w:rPr>
        <w:t>2、公司独立董事出具的关于第</w:t>
      </w:r>
      <w:r w:rsidR="00B74A22">
        <w:rPr>
          <w:rFonts w:asciiTheme="minorEastAsia" w:hAnsiTheme="minorEastAsia" w:hint="eastAsia"/>
          <w:sz w:val="24"/>
          <w:szCs w:val="24"/>
        </w:rPr>
        <w:t>五</w:t>
      </w:r>
      <w:r w:rsidRPr="00D047E9">
        <w:rPr>
          <w:rFonts w:asciiTheme="minorEastAsia" w:hAnsiTheme="minorEastAsia" w:hint="eastAsia"/>
          <w:sz w:val="24"/>
          <w:szCs w:val="24"/>
        </w:rPr>
        <w:t>届董事会第</w:t>
      </w:r>
      <w:r w:rsidR="00B74A22">
        <w:rPr>
          <w:rFonts w:asciiTheme="minorEastAsia" w:hAnsiTheme="minorEastAsia" w:hint="eastAsia"/>
          <w:sz w:val="24"/>
          <w:szCs w:val="24"/>
        </w:rPr>
        <w:t>二</w:t>
      </w:r>
      <w:r w:rsidRPr="00D047E9">
        <w:rPr>
          <w:rFonts w:asciiTheme="minorEastAsia" w:hAnsiTheme="minorEastAsia" w:hint="eastAsia"/>
          <w:sz w:val="24"/>
          <w:szCs w:val="24"/>
        </w:rPr>
        <w:t>次会议相关事项的独立意见</w:t>
      </w:r>
      <w:r w:rsidR="00B74A22">
        <w:rPr>
          <w:rFonts w:asciiTheme="minorEastAsia" w:hAnsiTheme="minorEastAsia" w:hint="eastAsia"/>
          <w:sz w:val="24"/>
          <w:szCs w:val="24"/>
        </w:rPr>
        <w:t>；</w:t>
      </w:r>
      <w:r w:rsidRPr="00D047E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84A38" w:rsidRPr="00D047E9" w:rsidRDefault="00684A38" w:rsidP="00E73F41">
      <w:pPr>
        <w:spacing w:line="480" w:lineRule="exact"/>
        <w:ind w:leftChars="50" w:left="105" w:firstLineChars="150" w:firstLine="360"/>
        <w:rPr>
          <w:rFonts w:asciiTheme="minorEastAsia" w:hAnsiTheme="minorEastAsia"/>
          <w:sz w:val="24"/>
          <w:szCs w:val="24"/>
        </w:rPr>
      </w:pPr>
      <w:r w:rsidRPr="00B74A22">
        <w:rPr>
          <w:rFonts w:asciiTheme="minorEastAsia" w:hAnsiTheme="minorEastAsia" w:hint="eastAsia"/>
          <w:sz w:val="24"/>
          <w:szCs w:val="24"/>
        </w:rPr>
        <w:t>3、浙江奥康鞋业股份有限公司</w:t>
      </w:r>
      <w:r w:rsidR="00B74A22" w:rsidRPr="00B74A22">
        <w:rPr>
          <w:rFonts w:asciiTheme="minorEastAsia" w:hAnsiTheme="minorEastAsia" w:hint="eastAsia"/>
          <w:sz w:val="24"/>
          <w:szCs w:val="24"/>
        </w:rPr>
        <w:t>关于使用部分闲置募集资金和</w:t>
      </w:r>
      <w:r w:rsidR="00B74A22" w:rsidRPr="00B74A22">
        <w:rPr>
          <w:rFonts w:asciiTheme="minorEastAsia" w:hAnsiTheme="minorEastAsia"/>
          <w:sz w:val="24"/>
          <w:szCs w:val="24"/>
        </w:rPr>
        <w:t>自有资金</w:t>
      </w:r>
      <w:r w:rsidR="00305352">
        <w:rPr>
          <w:rFonts w:asciiTheme="minorEastAsia" w:hAnsiTheme="minorEastAsia" w:hint="eastAsia"/>
          <w:sz w:val="24"/>
          <w:szCs w:val="24"/>
        </w:rPr>
        <w:t>购买银行理财产品的公告</w:t>
      </w:r>
      <w:r w:rsidRPr="00D047E9">
        <w:rPr>
          <w:rFonts w:asciiTheme="minorEastAsia" w:hAnsiTheme="minorEastAsia" w:hint="eastAsia"/>
          <w:sz w:val="24"/>
          <w:szCs w:val="24"/>
        </w:rPr>
        <w:t>（临201</w:t>
      </w:r>
      <w:r w:rsidR="00B74A22">
        <w:rPr>
          <w:rFonts w:asciiTheme="minorEastAsia" w:hAnsiTheme="minorEastAsia" w:hint="eastAsia"/>
          <w:sz w:val="24"/>
          <w:szCs w:val="24"/>
        </w:rPr>
        <w:t>4</w:t>
      </w:r>
      <w:r w:rsidRPr="00D047E9">
        <w:rPr>
          <w:rFonts w:asciiTheme="minorEastAsia" w:hAnsiTheme="minorEastAsia" w:hint="eastAsia"/>
          <w:sz w:val="24"/>
          <w:szCs w:val="24"/>
        </w:rPr>
        <w:t>-0</w:t>
      </w:r>
      <w:r w:rsidR="00B74A22">
        <w:rPr>
          <w:rFonts w:asciiTheme="minorEastAsia" w:hAnsiTheme="minorEastAsia" w:hint="eastAsia"/>
          <w:sz w:val="24"/>
          <w:szCs w:val="24"/>
        </w:rPr>
        <w:t>08</w:t>
      </w:r>
      <w:r w:rsidRPr="00D047E9">
        <w:rPr>
          <w:rFonts w:asciiTheme="minorEastAsia" w:hAnsiTheme="minorEastAsia" w:hint="eastAsia"/>
          <w:sz w:val="24"/>
          <w:szCs w:val="24"/>
        </w:rPr>
        <w:t>）</w:t>
      </w:r>
      <w:r w:rsidR="005B76DA">
        <w:rPr>
          <w:rFonts w:asciiTheme="minorEastAsia" w:hAnsiTheme="minorEastAsia" w:hint="eastAsia"/>
          <w:sz w:val="24"/>
          <w:szCs w:val="24"/>
        </w:rPr>
        <w:t>；</w:t>
      </w:r>
      <w:r w:rsidRPr="00D047E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84A38" w:rsidRPr="00AB3FC0" w:rsidRDefault="00684A38" w:rsidP="00E73F41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047E9">
        <w:rPr>
          <w:rFonts w:asciiTheme="minorEastAsia" w:hAnsiTheme="minorEastAsia" w:hint="eastAsia"/>
          <w:sz w:val="24"/>
          <w:szCs w:val="24"/>
        </w:rPr>
        <w:t>4、国信证券股份</w:t>
      </w:r>
      <w:r>
        <w:rPr>
          <w:rFonts w:asciiTheme="minorEastAsia" w:hAnsiTheme="minorEastAsia" w:hint="eastAsia"/>
          <w:sz w:val="24"/>
          <w:szCs w:val="24"/>
        </w:rPr>
        <w:t>有限公司关于公司使用部分闲置募集资金购买银行理财产品的核</w:t>
      </w:r>
      <w:r w:rsidRPr="00AB3FC0">
        <w:rPr>
          <w:rFonts w:asciiTheme="minorEastAsia" w:hAnsiTheme="minorEastAsia" w:hint="eastAsia"/>
          <w:sz w:val="24"/>
          <w:szCs w:val="24"/>
        </w:rPr>
        <w:t>查意见</w:t>
      </w:r>
      <w:r w:rsidR="00305352" w:rsidRPr="00AB3FC0">
        <w:rPr>
          <w:rFonts w:asciiTheme="minorEastAsia" w:hAnsiTheme="minorEastAsia" w:hint="eastAsia"/>
          <w:sz w:val="24"/>
          <w:szCs w:val="24"/>
        </w:rPr>
        <w:t>；</w:t>
      </w:r>
    </w:p>
    <w:p w:rsidR="00380E76" w:rsidRPr="00AB3FC0" w:rsidRDefault="00380E76" w:rsidP="00FB54D0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3FC0">
        <w:rPr>
          <w:rFonts w:asciiTheme="minorEastAsia" w:hAnsiTheme="minorEastAsia" w:hint="eastAsia"/>
          <w:sz w:val="24"/>
          <w:szCs w:val="24"/>
        </w:rPr>
        <w:t>5、</w:t>
      </w:r>
      <w:r w:rsidR="00305352" w:rsidRPr="00AB3FC0">
        <w:rPr>
          <w:rFonts w:asciiTheme="minorEastAsia" w:hAnsiTheme="minorEastAsia" w:hint="eastAsia"/>
          <w:sz w:val="24"/>
          <w:szCs w:val="24"/>
        </w:rPr>
        <w:t>公司2013年年度股东大会决议。</w:t>
      </w:r>
    </w:p>
    <w:p w:rsidR="001F46FF" w:rsidRPr="00AB3FC0" w:rsidRDefault="002D5CD8" w:rsidP="001A3FE2">
      <w:pPr>
        <w:spacing w:beforeLines="50" w:before="156" w:afterLines="50" w:after="156" w:line="32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B3FC0">
        <w:rPr>
          <w:rFonts w:asciiTheme="minorEastAsia" w:hAnsiTheme="minorEastAsia" w:hint="eastAsia"/>
          <w:sz w:val="24"/>
          <w:szCs w:val="24"/>
        </w:rPr>
        <w:t>特此公告</w:t>
      </w:r>
      <w:r w:rsidR="00A82510" w:rsidRPr="00AB3FC0">
        <w:rPr>
          <w:rFonts w:asciiTheme="minorEastAsia" w:hAnsiTheme="minorEastAsia" w:hint="eastAsia"/>
          <w:sz w:val="24"/>
          <w:szCs w:val="24"/>
        </w:rPr>
        <w:t>。</w:t>
      </w:r>
    </w:p>
    <w:p w:rsidR="00DD19E0" w:rsidRPr="00AB3FC0" w:rsidRDefault="00DD19E0" w:rsidP="001A3FE2">
      <w:pPr>
        <w:spacing w:beforeLines="50" w:before="156" w:afterLines="50" w:after="156" w:line="32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2D5CD8" w:rsidRPr="00AB3FC0" w:rsidRDefault="00083E78" w:rsidP="001A3FE2">
      <w:pPr>
        <w:spacing w:beforeLines="50" w:before="156" w:afterLines="50" w:after="156" w:line="320" w:lineRule="exact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AB3FC0">
        <w:rPr>
          <w:rFonts w:asciiTheme="minorEastAsia" w:hAnsiTheme="minorEastAsia" w:hint="eastAsia"/>
          <w:sz w:val="24"/>
          <w:szCs w:val="24"/>
        </w:rPr>
        <w:t>浙江奥康鞋业</w:t>
      </w:r>
      <w:r w:rsidR="001F46FF" w:rsidRPr="00AB3FC0">
        <w:rPr>
          <w:rFonts w:asciiTheme="minorEastAsia" w:hAnsiTheme="minorEastAsia" w:hint="eastAsia"/>
          <w:sz w:val="24"/>
          <w:szCs w:val="24"/>
        </w:rPr>
        <w:t>股份有限公司</w:t>
      </w:r>
    </w:p>
    <w:p w:rsidR="001F46FF" w:rsidRPr="00AB3FC0" w:rsidRDefault="00D259C6" w:rsidP="001A3FE2">
      <w:pPr>
        <w:spacing w:beforeLines="50" w:before="156" w:afterLines="50" w:after="156" w:line="320" w:lineRule="exact"/>
        <w:ind w:right="480" w:firstLineChars="475" w:firstLine="1140"/>
        <w:jc w:val="center"/>
        <w:rPr>
          <w:rFonts w:asciiTheme="minorEastAsia" w:hAnsiTheme="minorEastAsia"/>
          <w:sz w:val="24"/>
          <w:szCs w:val="24"/>
        </w:rPr>
      </w:pPr>
      <w:r w:rsidRPr="00AB3FC0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707645" w:rsidRPr="00AB3FC0">
        <w:rPr>
          <w:rFonts w:asciiTheme="minorEastAsia" w:hAnsiTheme="minorEastAsia" w:hint="eastAsia"/>
          <w:sz w:val="24"/>
          <w:szCs w:val="24"/>
        </w:rPr>
        <w:t xml:space="preserve">                          </w:t>
      </w:r>
      <w:r w:rsidR="008B511D" w:rsidRPr="00AB3FC0">
        <w:rPr>
          <w:rFonts w:asciiTheme="minorEastAsia" w:hAnsiTheme="minorEastAsia" w:hint="eastAsia"/>
          <w:sz w:val="24"/>
          <w:szCs w:val="24"/>
        </w:rPr>
        <w:t xml:space="preserve">  </w:t>
      </w:r>
      <w:r w:rsidR="00B94920">
        <w:rPr>
          <w:rFonts w:asciiTheme="minorEastAsia" w:hAnsiTheme="minorEastAsia" w:hint="eastAsia"/>
          <w:sz w:val="24"/>
          <w:szCs w:val="24"/>
        </w:rPr>
        <w:t xml:space="preserve"> </w:t>
      </w:r>
      <w:r w:rsidR="001F46FF" w:rsidRPr="00AB3FC0">
        <w:rPr>
          <w:rFonts w:asciiTheme="minorEastAsia" w:hAnsiTheme="minorEastAsia" w:hint="eastAsia"/>
          <w:sz w:val="24"/>
          <w:szCs w:val="24"/>
        </w:rPr>
        <w:t xml:space="preserve">董事会 </w:t>
      </w:r>
    </w:p>
    <w:p w:rsidR="00715958" w:rsidRPr="00AB3FC0" w:rsidRDefault="00946F3C" w:rsidP="00BB1AB2">
      <w:pPr>
        <w:spacing w:beforeLines="50" w:before="156" w:afterLines="50" w:after="156" w:line="320" w:lineRule="exact"/>
        <w:ind w:right="480" w:firstLineChars="475" w:firstLine="1140"/>
        <w:jc w:val="center"/>
        <w:rPr>
          <w:rFonts w:asciiTheme="minorEastAsia" w:hAnsiTheme="minorEastAsia"/>
          <w:sz w:val="24"/>
          <w:szCs w:val="24"/>
        </w:rPr>
      </w:pPr>
      <w:r w:rsidRPr="00AB3FC0">
        <w:rPr>
          <w:rFonts w:asciiTheme="minorEastAsia" w:hAnsiTheme="minorEastAsia" w:hint="eastAsia"/>
          <w:sz w:val="24"/>
          <w:szCs w:val="24"/>
        </w:rPr>
        <w:t xml:space="preserve">                                </w:t>
      </w:r>
      <w:r w:rsidR="009F6E5E" w:rsidRPr="00AB3FC0">
        <w:rPr>
          <w:rFonts w:asciiTheme="minorEastAsia" w:hAnsiTheme="minorEastAsia" w:hint="eastAsia"/>
          <w:sz w:val="24"/>
          <w:szCs w:val="24"/>
        </w:rPr>
        <w:t xml:space="preserve">    </w:t>
      </w:r>
      <w:r w:rsidRPr="00AB3FC0">
        <w:rPr>
          <w:rFonts w:asciiTheme="minorEastAsia" w:hAnsiTheme="minorEastAsia" w:hint="eastAsia"/>
          <w:sz w:val="24"/>
          <w:szCs w:val="24"/>
        </w:rPr>
        <w:t xml:space="preserve">   </w:t>
      </w:r>
      <w:r w:rsidR="008B511D" w:rsidRPr="00AB3FC0">
        <w:rPr>
          <w:rFonts w:asciiTheme="minorEastAsia" w:hAnsiTheme="minorEastAsia" w:hint="eastAsia"/>
          <w:sz w:val="24"/>
          <w:szCs w:val="24"/>
        </w:rPr>
        <w:t xml:space="preserve"> </w:t>
      </w:r>
      <w:r w:rsidR="009F6E5E" w:rsidRPr="00AB3FC0">
        <w:rPr>
          <w:rFonts w:asciiTheme="minorEastAsia" w:hAnsiTheme="minorEastAsia" w:hint="eastAsia"/>
          <w:sz w:val="24"/>
          <w:szCs w:val="24"/>
        </w:rPr>
        <w:t>201</w:t>
      </w:r>
      <w:r w:rsidR="008B511D" w:rsidRPr="00AB3FC0">
        <w:rPr>
          <w:rFonts w:asciiTheme="minorEastAsia" w:hAnsiTheme="minorEastAsia" w:hint="eastAsia"/>
          <w:sz w:val="24"/>
          <w:szCs w:val="24"/>
        </w:rPr>
        <w:t>4</w:t>
      </w:r>
      <w:r w:rsidR="009F6E5E" w:rsidRPr="00AB3FC0">
        <w:rPr>
          <w:rFonts w:asciiTheme="minorEastAsia" w:hAnsiTheme="minorEastAsia" w:hint="eastAsia"/>
          <w:sz w:val="24"/>
          <w:szCs w:val="24"/>
        </w:rPr>
        <w:t>年</w:t>
      </w:r>
      <w:r w:rsidR="009D1DCD">
        <w:rPr>
          <w:rFonts w:asciiTheme="minorEastAsia" w:hAnsiTheme="minorEastAsia" w:hint="eastAsia"/>
          <w:sz w:val="24"/>
          <w:szCs w:val="24"/>
        </w:rPr>
        <w:t>1</w:t>
      </w:r>
      <w:r w:rsidR="00B86EA1">
        <w:rPr>
          <w:rFonts w:asciiTheme="minorEastAsia" w:hAnsiTheme="minorEastAsia" w:hint="eastAsia"/>
          <w:sz w:val="24"/>
          <w:szCs w:val="24"/>
        </w:rPr>
        <w:t>0</w:t>
      </w:r>
      <w:r w:rsidR="009F6E5E" w:rsidRPr="00AB3FC0">
        <w:rPr>
          <w:rFonts w:asciiTheme="minorEastAsia" w:hAnsiTheme="minorEastAsia" w:hint="eastAsia"/>
          <w:sz w:val="24"/>
          <w:szCs w:val="24"/>
        </w:rPr>
        <w:t>月</w:t>
      </w:r>
      <w:r w:rsidR="00B86EA1">
        <w:rPr>
          <w:rFonts w:asciiTheme="minorEastAsia" w:hAnsiTheme="minorEastAsia" w:hint="eastAsia"/>
          <w:sz w:val="24"/>
          <w:szCs w:val="24"/>
        </w:rPr>
        <w:t>31</w:t>
      </w:r>
      <w:bookmarkStart w:id="0" w:name="_GoBack"/>
      <w:bookmarkEnd w:id="0"/>
      <w:r w:rsidR="00715958" w:rsidRPr="00AB3FC0">
        <w:rPr>
          <w:rFonts w:asciiTheme="minorEastAsia" w:hAnsiTheme="minorEastAsia" w:hint="eastAsia"/>
          <w:sz w:val="24"/>
          <w:szCs w:val="24"/>
        </w:rPr>
        <w:t>日</w:t>
      </w:r>
    </w:p>
    <w:sectPr w:rsidR="00715958" w:rsidRPr="00AB3FC0" w:rsidSect="00BE7563">
      <w:footerReference w:type="default" r:id="rId8"/>
      <w:pgSz w:w="11906" w:h="16838" w:code="9"/>
      <w:pgMar w:top="1418" w:right="1797" w:bottom="1440" w:left="1797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33" w:rsidRDefault="007E6533" w:rsidP="008D6F2D">
      <w:r>
        <w:separator/>
      </w:r>
    </w:p>
  </w:endnote>
  <w:endnote w:type="continuationSeparator" w:id="0">
    <w:p w:rsidR="007E6533" w:rsidRDefault="007E6533" w:rsidP="008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8516"/>
      <w:docPartObj>
        <w:docPartGallery w:val="Page Numbers (Bottom of Page)"/>
        <w:docPartUnique/>
      </w:docPartObj>
    </w:sdtPr>
    <w:sdtEndPr/>
    <w:sdtContent>
      <w:p w:rsidR="009D0987" w:rsidRDefault="00BB1AB2">
        <w:pPr>
          <w:pStyle w:val="a7"/>
          <w:jc w:val="center"/>
        </w:pPr>
        <w:r>
          <w:fldChar w:fldCharType="begin"/>
        </w:r>
        <w:r w:rsidR="009755EF">
          <w:instrText xml:space="preserve"> PAGE   \* MERGEFORMAT </w:instrText>
        </w:r>
        <w:r>
          <w:fldChar w:fldCharType="separate"/>
        </w:r>
        <w:r w:rsidR="00B86EA1" w:rsidRPr="00B86EA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D0987" w:rsidRDefault="009D0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33" w:rsidRDefault="007E6533" w:rsidP="008D6F2D">
      <w:r>
        <w:separator/>
      </w:r>
    </w:p>
  </w:footnote>
  <w:footnote w:type="continuationSeparator" w:id="0">
    <w:p w:rsidR="007E6533" w:rsidRDefault="007E6533" w:rsidP="008D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933"/>
    <w:multiLevelType w:val="hybridMultilevel"/>
    <w:tmpl w:val="3F20FCD4"/>
    <w:lvl w:ilvl="0" w:tplc="4D46D14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3F4"/>
    <w:rsid w:val="00001E9E"/>
    <w:rsid w:val="00006C74"/>
    <w:rsid w:val="00015D9E"/>
    <w:rsid w:val="000202D0"/>
    <w:rsid w:val="000265B0"/>
    <w:rsid w:val="000556DD"/>
    <w:rsid w:val="00062AB0"/>
    <w:rsid w:val="0006703B"/>
    <w:rsid w:val="0007641F"/>
    <w:rsid w:val="00083E78"/>
    <w:rsid w:val="00086985"/>
    <w:rsid w:val="00091B17"/>
    <w:rsid w:val="000A6A8F"/>
    <w:rsid w:val="000B0926"/>
    <w:rsid w:val="000B5222"/>
    <w:rsid w:val="000F03E6"/>
    <w:rsid w:val="000F54BD"/>
    <w:rsid w:val="00115EE1"/>
    <w:rsid w:val="0011722D"/>
    <w:rsid w:val="001213AB"/>
    <w:rsid w:val="0012533F"/>
    <w:rsid w:val="00133FCD"/>
    <w:rsid w:val="001352BF"/>
    <w:rsid w:val="001414D9"/>
    <w:rsid w:val="00143744"/>
    <w:rsid w:val="00144023"/>
    <w:rsid w:val="00146043"/>
    <w:rsid w:val="0015527E"/>
    <w:rsid w:val="00182E0E"/>
    <w:rsid w:val="0018358A"/>
    <w:rsid w:val="00185C71"/>
    <w:rsid w:val="00185D32"/>
    <w:rsid w:val="00187933"/>
    <w:rsid w:val="00196A25"/>
    <w:rsid w:val="001A1DCD"/>
    <w:rsid w:val="001A3FE2"/>
    <w:rsid w:val="001A4C01"/>
    <w:rsid w:val="001B0ED7"/>
    <w:rsid w:val="001C0036"/>
    <w:rsid w:val="001F46FF"/>
    <w:rsid w:val="00202770"/>
    <w:rsid w:val="00213104"/>
    <w:rsid w:val="00216764"/>
    <w:rsid w:val="002215AA"/>
    <w:rsid w:val="00223B52"/>
    <w:rsid w:val="00237A89"/>
    <w:rsid w:val="00241E59"/>
    <w:rsid w:val="00242476"/>
    <w:rsid w:val="00265911"/>
    <w:rsid w:val="00275AB0"/>
    <w:rsid w:val="00282D14"/>
    <w:rsid w:val="00283D01"/>
    <w:rsid w:val="00285ED3"/>
    <w:rsid w:val="002B2ACD"/>
    <w:rsid w:val="002C73CB"/>
    <w:rsid w:val="002D5CD8"/>
    <w:rsid w:val="002E1AEA"/>
    <w:rsid w:val="002E1CE2"/>
    <w:rsid w:val="002E7C34"/>
    <w:rsid w:val="002F45E4"/>
    <w:rsid w:val="002F601F"/>
    <w:rsid w:val="003019C8"/>
    <w:rsid w:val="00304FB1"/>
    <w:rsid w:val="00305352"/>
    <w:rsid w:val="0031036C"/>
    <w:rsid w:val="003146EF"/>
    <w:rsid w:val="00330F30"/>
    <w:rsid w:val="003319D0"/>
    <w:rsid w:val="003424E9"/>
    <w:rsid w:val="00342921"/>
    <w:rsid w:val="00357EBE"/>
    <w:rsid w:val="00366344"/>
    <w:rsid w:val="00380E76"/>
    <w:rsid w:val="0038234D"/>
    <w:rsid w:val="00382413"/>
    <w:rsid w:val="0039358B"/>
    <w:rsid w:val="003B127D"/>
    <w:rsid w:val="003B203B"/>
    <w:rsid w:val="003B3097"/>
    <w:rsid w:val="003C08F6"/>
    <w:rsid w:val="003C2F23"/>
    <w:rsid w:val="003D35BC"/>
    <w:rsid w:val="003E0BC0"/>
    <w:rsid w:val="003E239A"/>
    <w:rsid w:val="003E4756"/>
    <w:rsid w:val="003F4974"/>
    <w:rsid w:val="00406EF3"/>
    <w:rsid w:val="004110E6"/>
    <w:rsid w:val="004131B5"/>
    <w:rsid w:val="00415E1F"/>
    <w:rsid w:val="00444D4E"/>
    <w:rsid w:val="004632D4"/>
    <w:rsid w:val="0046482E"/>
    <w:rsid w:val="00470988"/>
    <w:rsid w:val="004757E9"/>
    <w:rsid w:val="00480FB2"/>
    <w:rsid w:val="004A4F56"/>
    <w:rsid w:val="004C105E"/>
    <w:rsid w:val="004C5318"/>
    <w:rsid w:val="004D4920"/>
    <w:rsid w:val="004E00CF"/>
    <w:rsid w:val="004E1276"/>
    <w:rsid w:val="004F3C65"/>
    <w:rsid w:val="004F7FDB"/>
    <w:rsid w:val="00512DCE"/>
    <w:rsid w:val="00521C14"/>
    <w:rsid w:val="005562E2"/>
    <w:rsid w:val="00557368"/>
    <w:rsid w:val="005579EB"/>
    <w:rsid w:val="005A062A"/>
    <w:rsid w:val="005A429A"/>
    <w:rsid w:val="005A74FB"/>
    <w:rsid w:val="005B76DA"/>
    <w:rsid w:val="005C3A4C"/>
    <w:rsid w:val="005C4556"/>
    <w:rsid w:val="005D1561"/>
    <w:rsid w:val="005D288E"/>
    <w:rsid w:val="005D717A"/>
    <w:rsid w:val="005E0DE5"/>
    <w:rsid w:val="005F6ABF"/>
    <w:rsid w:val="00603807"/>
    <w:rsid w:val="00610CAE"/>
    <w:rsid w:val="006412F4"/>
    <w:rsid w:val="006457D8"/>
    <w:rsid w:val="00650098"/>
    <w:rsid w:val="0066319A"/>
    <w:rsid w:val="00664906"/>
    <w:rsid w:val="00671FD6"/>
    <w:rsid w:val="00684A38"/>
    <w:rsid w:val="00685227"/>
    <w:rsid w:val="006863B5"/>
    <w:rsid w:val="00687787"/>
    <w:rsid w:val="00694B02"/>
    <w:rsid w:val="006B22B3"/>
    <w:rsid w:val="006B3867"/>
    <w:rsid w:val="0070367B"/>
    <w:rsid w:val="00707645"/>
    <w:rsid w:val="00715240"/>
    <w:rsid w:val="00715958"/>
    <w:rsid w:val="00727EA7"/>
    <w:rsid w:val="0073150A"/>
    <w:rsid w:val="007407D3"/>
    <w:rsid w:val="00744A3F"/>
    <w:rsid w:val="00747288"/>
    <w:rsid w:val="00763951"/>
    <w:rsid w:val="00763A0B"/>
    <w:rsid w:val="0077342C"/>
    <w:rsid w:val="007805FF"/>
    <w:rsid w:val="00796C12"/>
    <w:rsid w:val="007B63EE"/>
    <w:rsid w:val="007C06A6"/>
    <w:rsid w:val="007C482A"/>
    <w:rsid w:val="007C4BFD"/>
    <w:rsid w:val="007D57AB"/>
    <w:rsid w:val="007E5259"/>
    <w:rsid w:val="007E6533"/>
    <w:rsid w:val="007F0302"/>
    <w:rsid w:val="007F32D4"/>
    <w:rsid w:val="00807DE3"/>
    <w:rsid w:val="008137FC"/>
    <w:rsid w:val="00813A86"/>
    <w:rsid w:val="00831E89"/>
    <w:rsid w:val="00836912"/>
    <w:rsid w:val="0084477B"/>
    <w:rsid w:val="00850498"/>
    <w:rsid w:val="00851E92"/>
    <w:rsid w:val="00853802"/>
    <w:rsid w:val="00861063"/>
    <w:rsid w:val="00865EBD"/>
    <w:rsid w:val="00874C3F"/>
    <w:rsid w:val="008826BD"/>
    <w:rsid w:val="00884BED"/>
    <w:rsid w:val="00885515"/>
    <w:rsid w:val="00896159"/>
    <w:rsid w:val="008A10DD"/>
    <w:rsid w:val="008A36D1"/>
    <w:rsid w:val="008B511D"/>
    <w:rsid w:val="008D4446"/>
    <w:rsid w:val="008D6F2D"/>
    <w:rsid w:val="00923E0D"/>
    <w:rsid w:val="009270E4"/>
    <w:rsid w:val="00946F3C"/>
    <w:rsid w:val="00956264"/>
    <w:rsid w:val="00956D5D"/>
    <w:rsid w:val="009704FB"/>
    <w:rsid w:val="009755EF"/>
    <w:rsid w:val="00984AE7"/>
    <w:rsid w:val="009A6BAF"/>
    <w:rsid w:val="009C0815"/>
    <w:rsid w:val="009C517C"/>
    <w:rsid w:val="009D0987"/>
    <w:rsid w:val="009D1DCD"/>
    <w:rsid w:val="009E02B8"/>
    <w:rsid w:val="009E3510"/>
    <w:rsid w:val="009F0BDB"/>
    <w:rsid w:val="009F6E5E"/>
    <w:rsid w:val="009F79EB"/>
    <w:rsid w:val="00A07761"/>
    <w:rsid w:val="00A1015C"/>
    <w:rsid w:val="00A3787F"/>
    <w:rsid w:val="00A6777B"/>
    <w:rsid w:val="00A705E7"/>
    <w:rsid w:val="00A723F6"/>
    <w:rsid w:val="00A72A36"/>
    <w:rsid w:val="00A80C56"/>
    <w:rsid w:val="00A82510"/>
    <w:rsid w:val="00A83A5C"/>
    <w:rsid w:val="00A83D15"/>
    <w:rsid w:val="00A9022B"/>
    <w:rsid w:val="00A979A6"/>
    <w:rsid w:val="00A97D4E"/>
    <w:rsid w:val="00AB3FC0"/>
    <w:rsid w:val="00AC31AE"/>
    <w:rsid w:val="00AD3EEE"/>
    <w:rsid w:val="00AD4C92"/>
    <w:rsid w:val="00AE49FB"/>
    <w:rsid w:val="00AE6ED9"/>
    <w:rsid w:val="00AF5816"/>
    <w:rsid w:val="00AF79A7"/>
    <w:rsid w:val="00B052DA"/>
    <w:rsid w:val="00B23012"/>
    <w:rsid w:val="00B40289"/>
    <w:rsid w:val="00B40884"/>
    <w:rsid w:val="00B4133F"/>
    <w:rsid w:val="00B41A7C"/>
    <w:rsid w:val="00B42304"/>
    <w:rsid w:val="00B42F07"/>
    <w:rsid w:val="00B51B4E"/>
    <w:rsid w:val="00B60F44"/>
    <w:rsid w:val="00B650F0"/>
    <w:rsid w:val="00B74A22"/>
    <w:rsid w:val="00B81D7E"/>
    <w:rsid w:val="00B83B39"/>
    <w:rsid w:val="00B86EA1"/>
    <w:rsid w:val="00B912D1"/>
    <w:rsid w:val="00B94920"/>
    <w:rsid w:val="00BA7703"/>
    <w:rsid w:val="00BA7BC9"/>
    <w:rsid w:val="00BB1AB2"/>
    <w:rsid w:val="00BC2F79"/>
    <w:rsid w:val="00BD1E4D"/>
    <w:rsid w:val="00BD2B4A"/>
    <w:rsid w:val="00BD46F9"/>
    <w:rsid w:val="00BE1F5F"/>
    <w:rsid w:val="00BE7563"/>
    <w:rsid w:val="00BF542A"/>
    <w:rsid w:val="00C009E0"/>
    <w:rsid w:val="00C2195A"/>
    <w:rsid w:val="00C24D2A"/>
    <w:rsid w:val="00C41852"/>
    <w:rsid w:val="00C56F64"/>
    <w:rsid w:val="00C661EC"/>
    <w:rsid w:val="00C86397"/>
    <w:rsid w:val="00C953CB"/>
    <w:rsid w:val="00C968DA"/>
    <w:rsid w:val="00CA2D27"/>
    <w:rsid w:val="00CB2A72"/>
    <w:rsid w:val="00CB44CA"/>
    <w:rsid w:val="00CC123D"/>
    <w:rsid w:val="00CC3495"/>
    <w:rsid w:val="00CC453E"/>
    <w:rsid w:val="00CD3B57"/>
    <w:rsid w:val="00CD5B4B"/>
    <w:rsid w:val="00CD6E63"/>
    <w:rsid w:val="00CE04FA"/>
    <w:rsid w:val="00CE39E2"/>
    <w:rsid w:val="00CF350C"/>
    <w:rsid w:val="00CF3B85"/>
    <w:rsid w:val="00D0285E"/>
    <w:rsid w:val="00D0397F"/>
    <w:rsid w:val="00D11578"/>
    <w:rsid w:val="00D15173"/>
    <w:rsid w:val="00D21008"/>
    <w:rsid w:val="00D259C6"/>
    <w:rsid w:val="00D30F67"/>
    <w:rsid w:val="00D3566E"/>
    <w:rsid w:val="00D446E4"/>
    <w:rsid w:val="00D47FC8"/>
    <w:rsid w:val="00D50509"/>
    <w:rsid w:val="00D50C67"/>
    <w:rsid w:val="00D556F1"/>
    <w:rsid w:val="00D5669C"/>
    <w:rsid w:val="00D57B6C"/>
    <w:rsid w:val="00D62B3C"/>
    <w:rsid w:val="00D83603"/>
    <w:rsid w:val="00D967EF"/>
    <w:rsid w:val="00D97B74"/>
    <w:rsid w:val="00DA0F23"/>
    <w:rsid w:val="00DC4EB7"/>
    <w:rsid w:val="00DC6993"/>
    <w:rsid w:val="00DD19E0"/>
    <w:rsid w:val="00DF0905"/>
    <w:rsid w:val="00DF0DDE"/>
    <w:rsid w:val="00DF4493"/>
    <w:rsid w:val="00DF567F"/>
    <w:rsid w:val="00E0529B"/>
    <w:rsid w:val="00E07EC5"/>
    <w:rsid w:val="00E16298"/>
    <w:rsid w:val="00E175EB"/>
    <w:rsid w:val="00E20D6E"/>
    <w:rsid w:val="00E27BC2"/>
    <w:rsid w:val="00E31135"/>
    <w:rsid w:val="00E47C05"/>
    <w:rsid w:val="00E52FCD"/>
    <w:rsid w:val="00E55B84"/>
    <w:rsid w:val="00E56653"/>
    <w:rsid w:val="00E61E24"/>
    <w:rsid w:val="00E62D16"/>
    <w:rsid w:val="00E73F41"/>
    <w:rsid w:val="00E7520A"/>
    <w:rsid w:val="00E924AF"/>
    <w:rsid w:val="00EB11A7"/>
    <w:rsid w:val="00EC2C7B"/>
    <w:rsid w:val="00EC435E"/>
    <w:rsid w:val="00ED22FF"/>
    <w:rsid w:val="00ED2716"/>
    <w:rsid w:val="00EE3EDB"/>
    <w:rsid w:val="00EE52F1"/>
    <w:rsid w:val="00F254B7"/>
    <w:rsid w:val="00F333F4"/>
    <w:rsid w:val="00F35B46"/>
    <w:rsid w:val="00F4005E"/>
    <w:rsid w:val="00F711CD"/>
    <w:rsid w:val="00F74051"/>
    <w:rsid w:val="00F77163"/>
    <w:rsid w:val="00F85706"/>
    <w:rsid w:val="00F97237"/>
    <w:rsid w:val="00FA51E8"/>
    <w:rsid w:val="00FB400B"/>
    <w:rsid w:val="00FB54D0"/>
    <w:rsid w:val="00FB5F99"/>
    <w:rsid w:val="00FD739A"/>
    <w:rsid w:val="00FD7CDE"/>
    <w:rsid w:val="00FE7B0F"/>
    <w:rsid w:val="00FF287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0D16A-8150-49D9-9CF5-F30A94C5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5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qFormat/>
    <w:rsid w:val="00D115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11578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AF79A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F79A7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D6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D6F2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D6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D6F2D"/>
    <w:rPr>
      <w:sz w:val="18"/>
      <w:szCs w:val="18"/>
    </w:rPr>
  </w:style>
  <w:style w:type="paragraph" w:styleId="a8">
    <w:name w:val="List Paragraph"/>
    <w:basedOn w:val="a"/>
    <w:uiPriority w:val="34"/>
    <w:qFormat/>
    <w:rsid w:val="00091B17"/>
    <w:pPr>
      <w:ind w:firstLineChars="200" w:firstLine="420"/>
    </w:pPr>
  </w:style>
  <w:style w:type="table" w:styleId="a9">
    <w:name w:val="Table Grid"/>
    <w:basedOn w:val="a1"/>
    <w:uiPriority w:val="59"/>
    <w:rsid w:val="00C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\epan\sszl\ss&#36164;&#26009;\&#24037;&#20316;&#36164;&#26009;%20&#24211;\&#36164;&#26009;&#24211;\&#22806;&#37096;&#35843;&#26597;&#36164;&#26009;\&#19978;&#28023;&#35777;&#21048;&#20132;&#26131;&#25152;&#35268;&#21017;%20&#21046;&#24230;%20&#27169;&#26495;%20&#36890;&#30693;\&#20020;&#26102;&#20844;&#21578;&#27169;&#26495;&#27597;&#2925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C79E-5E0A-4FAD-B1AB-04946337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临时公告模板母版.dotx</Template>
  <TotalTime>349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潘海雷</dc:creator>
  <cp:lastModifiedBy>孙秋月</cp:lastModifiedBy>
  <cp:revision>189</cp:revision>
  <cp:lastPrinted>2012-05-29T03:31:00Z</cp:lastPrinted>
  <dcterms:created xsi:type="dcterms:W3CDTF">2014-06-23T07:17:00Z</dcterms:created>
  <dcterms:modified xsi:type="dcterms:W3CDTF">2014-10-30T03:39:00Z</dcterms:modified>
</cp:coreProperties>
</file>